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D6" w:rsidRDefault="00E2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  <w:color w:val="000000"/>
        </w:rPr>
        <w:drawing>
          <wp:inline distT="0" distB="0" distL="0" distR="0">
            <wp:extent cx="876300" cy="746760"/>
            <wp:effectExtent l="0" t="0" r="0" b="0"/>
            <wp:docPr id="3" name="image1.png" descr="C:\Users\ALUMNI~1\AppData\Local\Temp\UON Logo png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LUMNI~1\AppData\Local\Temp\UON Logo png-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4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24D6" w:rsidRDefault="00E23C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NAIROBI</w:t>
      </w:r>
    </w:p>
    <w:p w:rsidR="002A24D6" w:rsidRDefault="00E2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ENGINEERING AND SCIENCE COMPLEX PROJECT (ESC) 2025 JOINT RESEARCH GRANTS CALL FOR PROPOSALS</w:t>
      </w:r>
    </w:p>
    <w:p w:rsidR="002A24D6" w:rsidRDefault="00E23C64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University of Nairobi invites applications for Joint research grants under the Engineering and Science Complex (ESC) project. These grants aim to support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faculty members and researchers to establish strategic partnerships with French partner instit</w:t>
      </w:r>
      <w:r>
        <w:rPr>
          <w:rFonts w:ascii="Times New Roman" w:eastAsia="Times New Roman" w:hAnsi="Times New Roman" w:cs="Times New Roman"/>
          <w:sz w:val="24"/>
          <w:szCs w:val="24"/>
        </w:rPr>
        <w:t>utions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ParisTech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PSL,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AgroParisTech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Paris-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Nîmes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Polytechnique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Paris). </w:t>
      </w:r>
    </w:p>
    <w:p w:rsidR="002A24D6" w:rsidRDefault="002A2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4D6" w:rsidRDefault="00E2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About the ESC </w:t>
      </w:r>
    </w:p>
    <w:p w:rsidR="002A24D6" w:rsidRDefault="00E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Engineering and Science Complex (ESC) is a flagship project set to enable the University of Nairo</w:t>
      </w:r>
      <w:r>
        <w:rPr>
          <w:rFonts w:ascii="Times New Roman" w:eastAsia="Times New Roman" w:hAnsi="Times New Roman" w:cs="Times New Roman"/>
          <w:sz w:val="24"/>
          <w:szCs w:val="24"/>
        </w:rPr>
        <w:t>bi to revolutionize training in sciences, engineering, and information technology in order to achieve Kenya's Vision 2030. This project is a partnership between the Kenyan government and the French Development Agency (AFD). Primarily, the ESC aims to foste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 triple helix mode of operation to ensure sustainable Academia engagements with industry and government. </w:t>
      </w:r>
    </w:p>
    <w:p w:rsidR="002A24D6" w:rsidRDefault="002A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4D6" w:rsidRDefault="00E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ESC Joint research grants are part of a broader strategy to position the ESC as a leading hub for research, innovation, and industry collabora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</w:p>
    <w:p w:rsidR="002A24D6" w:rsidRDefault="002A2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4D6" w:rsidRDefault="00E23C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Grant Size: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7500€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(exploratory)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15000€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(advanced)</w:t>
      </w:r>
    </w:p>
    <w:p w:rsidR="002A24D6" w:rsidRDefault="00E23C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Duration: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 to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12 Months</w:t>
      </w:r>
    </w:p>
    <w:p w:rsidR="002A24D6" w:rsidRDefault="00E23C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Background: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These grants will support small-scale research projects collaboratively designed with French institutions, providing essential preliminary data or proof-of-concept studies to strengthen full-scale research grant applications. The primary objective is to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stablish research networks that are aligned with the ESC's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Communities of Excellence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Funding will cover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short mobility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networking meetings, workshops, and preliminary research activities to demonstrate feasibility to potential funding partners. 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ditionally, the grant can support joint proposal-writing efforts, consultant fees, and travel costs for meetings with collaborators.</w:t>
      </w:r>
    </w:p>
    <w:p w:rsidR="002A24D6" w:rsidRDefault="002A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4D6" w:rsidRDefault="00E2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Priority Research Areas</w:t>
      </w:r>
    </w:p>
    <w:p w:rsidR="002A24D6" w:rsidRDefault="00E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Consideration will be given to proposals that align with the strategic goals of the ESC project an</w:t>
      </w:r>
      <w:r>
        <w:rPr>
          <w:rFonts w:ascii="Times New Roman" w:eastAsia="Times New Roman" w:hAnsi="Times New Roman" w:cs="Times New Roman"/>
          <w:sz w:val="24"/>
          <w:szCs w:val="24"/>
        </w:rPr>
        <w:t>d its Communities of Excellence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2A24D6" w:rsidRDefault="00E2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Innovation - </w:t>
      </w:r>
      <w:r>
        <w:rPr>
          <w:rFonts w:ascii="Times New Roman" w:eastAsia="Times New Roman" w:hAnsi="Times New Roman" w:cs="Times New Roman"/>
          <w:sz w:val="24"/>
          <w:szCs w:val="24"/>
        </w:rPr>
        <w:t>Maker space and fab lab, Prototyping facilities, PCB Fabrication, Precision Machining, Clean Room, project platforms, Innovation design, Management of unknown, Incubator for start-ups and open innovation</w:t>
      </w:r>
      <w:r>
        <w:rPr>
          <w:rFonts w:ascii="Times New Roman" w:eastAsia="Times New Roman" w:hAnsi="Times New Roman" w:cs="Times New Roman"/>
          <w:sz w:val="24"/>
          <w:szCs w:val="24"/>
        </w:rPr>
        <w:t>, Technology transfer accelerator office</w:t>
      </w:r>
    </w:p>
    <w:p w:rsidR="002A24D6" w:rsidRDefault="00E2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Advanced Manufacturing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next-generation manufacturing processes, industry 4.0 or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Prototyping and Modelling, Industrial processes, Robotics and automation</w:t>
      </w:r>
    </w:p>
    <w:p w:rsidR="002A24D6" w:rsidRDefault="00E2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Computer Science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and its applications, data science, cybersecurity, high-performance computing, Software engineering and other digital technologies and their applications in various development sectors</w:t>
      </w:r>
    </w:p>
    <w:p w:rsidR="002A24D6" w:rsidRDefault="00E2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Agro and Food Engineering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sustainable agriculture, food science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technology, food security, and innovative agricultural practices.</w:t>
      </w:r>
    </w:p>
    <w:p w:rsidR="002A24D6" w:rsidRDefault="00E2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Biotech, Process and Chemical Engineering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Bioprocessing and industrial biotechnology, Circular economy, Green chemistry, Environmental and process engineering, Drug processing and Biotechnology innovations.</w:t>
      </w:r>
    </w:p>
    <w:p w:rsidR="002A24D6" w:rsidRDefault="00E2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Technology for 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Biomedical engineering, digital health solutions, AI-driven diagno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stics and Biotechnology for health. </w:t>
      </w:r>
    </w:p>
    <w:p w:rsidR="002A24D6" w:rsidRDefault="00E2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Urban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Data-driven urban solutions, including smart infrastructure and intelligent transport systems. </w:t>
      </w:r>
    </w:p>
    <w:p w:rsidR="002A24D6" w:rsidRDefault="00E2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Energy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Renewable energy technologies, smart grids, energy storage, green hydrogen and sustainable 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ctrification solutions</w:t>
      </w:r>
    </w:p>
    <w:p w:rsidR="002A24D6" w:rsidRDefault="002A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4D6" w:rsidRDefault="00E23C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Application Deadline: 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</w:p>
    <w:p w:rsidR="002A24D6" w:rsidRDefault="002A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4D6" w:rsidRDefault="00E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more details and submission guidelines, please contact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[advancement@uonbi.ac.ke]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24D6" w:rsidRDefault="002A2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4D6" w:rsidRDefault="00E2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Application Process</w:t>
      </w:r>
    </w:p>
    <w:p w:rsidR="002A24D6" w:rsidRDefault="00E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Interested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faculty members and researchers are invited to submit their applications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(APPLY HERE</w:t>
      </w:r>
      <w:r w:rsidR="0081285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12850" w:rsidRPr="00E23C64">
        <w:rPr>
          <w:rFonts w:ascii="Times New Roman" w:eastAsia="Times New Roman" w:hAnsi="Times New Roman" w:cs="Times New Roman"/>
          <w:b/>
          <w:i/>
          <w:sz w:val="24"/>
          <w:szCs w:val="24"/>
        </w:rPr>
        <w:t>https://forms.gle/TieYqZhc9ZTrujWu5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MAY 2025</w:t>
      </w:r>
      <w:r>
        <w:rPr>
          <w:rFonts w:ascii="Times New Roman" w:eastAsia="Times New Roman" w:hAnsi="Times New Roman" w:cs="Times New Roman"/>
          <w:sz w:val="24"/>
          <w:szCs w:val="24"/>
        </w:rPr>
        <w:t>. Applications should include:</w:t>
      </w:r>
    </w:p>
    <w:p w:rsidR="002A24D6" w:rsidRDefault="00E23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fully filled out Google form.</w:t>
      </w:r>
    </w:p>
    <w:p w:rsidR="002A24D6" w:rsidRDefault="00E23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detailed proposal ou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tlining research objectives, methodology, and expected impact.</w:t>
      </w:r>
    </w:p>
    <w:p w:rsidR="002A24D6" w:rsidRDefault="00E23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budget breakdown and sustainability plan for resource mobilization.</w:t>
      </w:r>
    </w:p>
    <w:p w:rsidR="002A24D6" w:rsidRDefault="00E23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Confirmation of industry and/or French institutional partnerships.</w:t>
      </w:r>
    </w:p>
    <w:p w:rsidR="002A24D6" w:rsidRDefault="002A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4D6" w:rsidRDefault="002A24D6"/>
    <w:sectPr w:rsidR="002A24D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9FD"/>
    <w:multiLevelType w:val="multilevel"/>
    <w:tmpl w:val="D512A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514313C"/>
    <w:multiLevelType w:val="multilevel"/>
    <w:tmpl w:val="34ECCA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D6"/>
    <w:rsid w:val="002A24D6"/>
    <w:rsid w:val="0053235D"/>
    <w:rsid w:val="007D6FC3"/>
    <w:rsid w:val="00812850"/>
    <w:rsid w:val="00E2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8A0C"/>
  <w15:docId w15:val="{4E2FC303-55B1-43B8-83FA-5834414D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D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Ul+/ICxzFvbyZXUMaWbVp2pnA==">CgMxLjAyCGguZ2pkZ3hzMghoLmdqZGd4czgAciExeDRlejZYdnloUGh5QXV3eTZsczNIa2pkd0R0SFVmV0w=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2025-02-26T08:15:00Z</dcterms:created>
  <dcterms:modified xsi:type="dcterms:W3CDTF">2025-04-04T06:10:00Z</dcterms:modified>
</cp:coreProperties>
</file>